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E051DB" w14:textId="1E54E356" w:rsidR="0090570B" w:rsidRDefault="00565F5C" w:rsidP="00803476">
      <w:pPr>
        <w:pStyle w:val="Heading1"/>
      </w:pPr>
      <w:r w:rsidRPr="00565F5C">
        <w:t xml:space="preserve">Guidelines on the </w:t>
      </w:r>
      <w:r w:rsidR="002671FC">
        <w:t>U</w:t>
      </w:r>
      <w:r w:rsidRPr="00565F5C">
        <w:t xml:space="preserve">se of </w:t>
      </w:r>
      <w:r w:rsidR="002671FC">
        <w:t>C</w:t>
      </w:r>
      <w:r w:rsidRPr="00565F5C">
        <w:t xml:space="preserve">onfidentiality </w:t>
      </w:r>
      <w:r w:rsidR="002671FC">
        <w:t>C</w:t>
      </w:r>
      <w:r w:rsidRPr="00565F5C">
        <w:t xml:space="preserve">lauses in the </w:t>
      </w:r>
      <w:r w:rsidR="002671FC">
        <w:t>R</w:t>
      </w:r>
      <w:r w:rsidRPr="00565F5C">
        <w:t xml:space="preserve">esolution of </w:t>
      </w:r>
      <w:r w:rsidR="002671FC">
        <w:t>W</w:t>
      </w:r>
      <w:r w:rsidRPr="00565F5C">
        <w:t xml:space="preserve">orkplace </w:t>
      </w:r>
      <w:r w:rsidR="002671FC">
        <w:t>S</w:t>
      </w:r>
      <w:r w:rsidRPr="00565F5C">
        <w:t xml:space="preserve">exual </w:t>
      </w:r>
      <w:r w:rsidR="002671FC">
        <w:t>H</w:t>
      </w:r>
      <w:r w:rsidRPr="00565F5C">
        <w:t xml:space="preserve">arassment </w:t>
      </w:r>
      <w:r w:rsidR="002671FC">
        <w:t>C</w:t>
      </w:r>
      <w:r w:rsidRPr="00565F5C">
        <w:t>omplaints</w:t>
      </w:r>
      <w:r>
        <w:t xml:space="preserve"> – Fact </w:t>
      </w:r>
      <w:r w:rsidR="002671FC">
        <w:t>S</w:t>
      </w:r>
      <w:r>
        <w:t xml:space="preserve">heet for </w:t>
      </w:r>
      <w:r w:rsidR="00B80659">
        <w:t>Small Business</w:t>
      </w:r>
    </w:p>
    <w:p w14:paraId="19B116E7" w14:textId="5F033297" w:rsidR="00565F5C" w:rsidRDefault="00565F5C">
      <w:r w:rsidRPr="00565F5C">
        <w:t xml:space="preserve">This fact sheet complements the </w:t>
      </w:r>
      <w:r w:rsidRPr="00D41790">
        <w:rPr>
          <w:i/>
        </w:rPr>
        <w:t xml:space="preserve">Guidelines on the </w:t>
      </w:r>
      <w:r w:rsidR="003F3879" w:rsidRPr="00D41790">
        <w:rPr>
          <w:i/>
        </w:rPr>
        <w:t>Use of Confidentiality Clauses in the Resolution of Workplace Sexual Harassment Complaints</w:t>
      </w:r>
      <w:r w:rsidRPr="00565F5C">
        <w:t>.</w:t>
      </w:r>
    </w:p>
    <w:p w14:paraId="39C85550" w14:textId="54008673" w:rsidR="00565F5C" w:rsidRPr="00565F5C" w:rsidRDefault="00E3757C" w:rsidP="00E844EA">
      <w:pPr>
        <w:pStyle w:val="Heading2"/>
      </w:pPr>
      <w:r>
        <w:t xml:space="preserve">Settlement agreements and </w:t>
      </w:r>
      <w:r w:rsidR="00024F6A">
        <w:t>confidentiality clause</w:t>
      </w:r>
      <w:r>
        <w:t>s</w:t>
      </w:r>
      <w:r w:rsidR="00997738">
        <w:t xml:space="preserve"> </w:t>
      </w:r>
    </w:p>
    <w:p w14:paraId="557DBD25" w14:textId="6ABD13BA" w:rsidR="00997738" w:rsidRDefault="00997738">
      <w:r>
        <w:t xml:space="preserve">A business may enter into a </w:t>
      </w:r>
      <w:r w:rsidR="00505668" w:rsidRPr="00505668">
        <w:t xml:space="preserve">workplace sexual harassment settlement agreement </w:t>
      </w:r>
      <w:r w:rsidRPr="00505668">
        <w:t>to resolve or settle a sexual harassment complaint</w:t>
      </w:r>
      <w:r>
        <w:t xml:space="preserve">. </w:t>
      </w:r>
    </w:p>
    <w:p w14:paraId="53CE2189" w14:textId="1F9AD0E2" w:rsidR="00E3757C" w:rsidRDefault="00997738">
      <w:r>
        <w:t>A settlement agreement i</w:t>
      </w:r>
      <w:r w:rsidR="00505668" w:rsidRPr="00505668">
        <w:t xml:space="preserve">s a legally enforceable arrangement, which </w:t>
      </w:r>
      <w:r w:rsidR="00F72F2D">
        <w:t>sets</w:t>
      </w:r>
      <w:r w:rsidR="00505668" w:rsidRPr="00505668">
        <w:t xml:space="preserve"> out the actions each party </w:t>
      </w:r>
      <w:r w:rsidR="001D1A77">
        <w:t>has agreed to</w:t>
      </w:r>
      <w:r w:rsidR="001D1A77" w:rsidRPr="00505668">
        <w:t xml:space="preserve"> </w:t>
      </w:r>
      <w:r w:rsidR="00505668" w:rsidRPr="00505668">
        <w:t>take to resolve and close the complaint.</w:t>
      </w:r>
    </w:p>
    <w:p w14:paraId="25E97098" w14:textId="5B95DF39" w:rsidR="00505668" w:rsidRDefault="00505668" w:rsidP="00505668">
      <w:r w:rsidRPr="00FB167E">
        <w:t xml:space="preserve">A confidentiality clause </w:t>
      </w:r>
      <w:r>
        <w:t xml:space="preserve">is a section </w:t>
      </w:r>
      <w:r w:rsidRPr="00FB167E">
        <w:t>within a settlement agreement that requires particular details to be kept confidential as part of reaching a settlement.</w:t>
      </w:r>
      <w:r w:rsidRPr="00FB167E">
        <w:rPr>
          <w:rFonts w:ascii="Calibri Light" w:hAnsi="Calibri Light" w:cs="Calibri Light"/>
        </w:rPr>
        <w:t xml:space="preserve"> </w:t>
      </w:r>
      <w:r>
        <w:t>Confidentiality clauses</w:t>
      </w:r>
      <w:r w:rsidRPr="00FB167E">
        <w:t xml:space="preserve"> are sometimes referred to as non-disclosure agreements or NDAs</w:t>
      </w:r>
      <w:r w:rsidR="00F72F2D">
        <w:t>.</w:t>
      </w:r>
    </w:p>
    <w:p w14:paraId="0791394F" w14:textId="77777777" w:rsidR="00565F5C" w:rsidRDefault="00E3757C" w:rsidP="00E844EA">
      <w:pPr>
        <w:pStyle w:val="Heading2"/>
      </w:pPr>
      <w:r>
        <w:t>Preventing and responding to sexual harassment</w:t>
      </w:r>
    </w:p>
    <w:p w14:paraId="6950471D" w14:textId="310E6423" w:rsidR="00505668" w:rsidRPr="00E3757C" w:rsidRDefault="00505668" w:rsidP="00505668">
      <w:pPr>
        <w:pStyle w:val="NormalWeb"/>
        <w:spacing w:before="0" w:beforeAutospacing="0" w:after="0" w:afterAutospacing="0"/>
        <w:jc w:val="both"/>
        <w:rPr>
          <w:rFonts w:asciiTheme="minorHAnsi" w:eastAsiaTheme="minorHAnsi" w:hAnsiTheme="minorHAnsi" w:cstheme="minorBidi"/>
          <w:sz w:val="22"/>
          <w:szCs w:val="22"/>
          <w:lang w:val="en-AU" w:eastAsia="en-US"/>
        </w:rPr>
      </w:pPr>
      <w:bookmarkStart w:id="0" w:name="_Hlk103866316"/>
      <w:r w:rsidRPr="00E3757C">
        <w:rPr>
          <w:rFonts w:asciiTheme="minorHAnsi" w:eastAsiaTheme="minorHAnsi" w:hAnsiTheme="minorHAnsi" w:cstheme="minorBidi"/>
          <w:sz w:val="22"/>
          <w:szCs w:val="22"/>
          <w:lang w:val="en-AU" w:eastAsia="en-US"/>
        </w:rPr>
        <w:t>As an employer it is important to remember you are responsible for complying with</w:t>
      </w:r>
      <w:r w:rsidR="005626AA">
        <w:rPr>
          <w:rFonts w:asciiTheme="minorHAnsi" w:eastAsiaTheme="minorHAnsi" w:hAnsiTheme="minorHAnsi" w:cstheme="minorBidi"/>
          <w:sz w:val="22"/>
          <w:szCs w:val="22"/>
          <w:lang w:val="en-AU" w:eastAsia="en-US"/>
        </w:rPr>
        <w:t xml:space="preserve"> the </w:t>
      </w:r>
      <w:r w:rsidR="005626AA" w:rsidRPr="00767572">
        <w:rPr>
          <w:rFonts w:asciiTheme="minorHAnsi" w:eastAsiaTheme="minorHAnsi" w:hAnsiTheme="minorHAnsi" w:cstheme="minorBidi"/>
          <w:i/>
          <w:sz w:val="22"/>
          <w:szCs w:val="22"/>
          <w:lang w:val="en-AU" w:eastAsia="en-US"/>
        </w:rPr>
        <w:t>Fair Work Act 2009</w:t>
      </w:r>
      <w:r w:rsidR="0069467D">
        <w:rPr>
          <w:rFonts w:asciiTheme="minorHAnsi" w:eastAsiaTheme="minorHAnsi" w:hAnsiTheme="minorHAnsi" w:cstheme="minorBidi"/>
          <w:i/>
          <w:sz w:val="22"/>
          <w:szCs w:val="22"/>
          <w:lang w:val="en-AU" w:eastAsia="en-US"/>
        </w:rPr>
        <w:t xml:space="preserve"> </w:t>
      </w:r>
      <w:r w:rsidR="0069467D">
        <w:rPr>
          <w:rFonts w:asciiTheme="minorHAnsi" w:eastAsiaTheme="minorHAnsi" w:hAnsiTheme="minorHAnsi" w:cstheme="minorBidi"/>
          <w:sz w:val="22"/>
          <w:szCs w:val="22"/>
          <w:lang w:val="en-AU" w:eastAsia="en-US"/>
        </w:rPr>
        <w:t>(Cth)</w:t>
      </w:r>
      <w:r w:rsidR="005626AA">
        <w:rPr>
          <w:rFonts w:asciiTheme="minorHAnsi" w:eastAsiaTheme="minorHAnsi" w:hAnsiTheme="minorHAnsi" w:cstheme="minorBidi"/>
          <w:sz w:val="22"/>
          <w:szCs w:val="22"/>
          <w:lang w:val="en-AU" w:eastAsia="en-US"/>
        </w:rPr>
        <w:t>,</w:t>
      </w:r>
      <w:r w:rsidRPr="00E3757C">
        <w:rPr>
          <w:rFonts w:asciiTheme="minorHAnsi" w:eastAsiaTheme="minorHAnsi" w:hAnsiTheme="minorHAnsi" w:cstheme="minorBidi"/>
          <w:sz w:val="22"/>
          <w:szCs w:val="22"/>
          <w:lang w:val="en-AU" w:eastAsia="en-US"/>
        </w:rPr>
        <w:t xml:space="preserve"> </w:t>
      </w:r>
      <w:r w:rsidR="005553B4">
        <w:rPr>
          <w:rFonts w:asciiTheme="minorHAnsi" w:eastAsiaTheme="minorHAnsi" w:hAnsiTheme="minorHAnsi" w:cstheme="minorBidi"/>
          <w:sz w:val="22"/>
          <w:szCs w:val="22"/>
          <w:lang w:val="en-AU" w:eastAsia="en-US"/>
        </w:rPr>
        <w:t xml:space="preserve">discrimination laws and </w:t>
      </w:r>
      <w:r w:rsidR="00AB4B5F">
        <w:rPr>
          <w:rFonts w:asciiTheme="minorHAnsi" w:eastAsiaTheme="minorHAnsi" w:hAnsiTheme="minorHAnsi" w:cstheme="minorBidi"/>
          <w:sz w:val="22"/>
          <w:szCs w:val="22"/>
          <w:lang w:val="en-AU" w:eastAsia="en-US"/>
        </w:rPr>
        <w:t>w</w:t>
      </w:r>
      <w:r w:rsidRPr="00E3757C">
        <w:rPr>
          <w:rFonts w:asciiTheme="minorHAnsi" w:eastAsiaTheme="minorHAnsi" w:hAnsiTheme="minorHAnsi" w:cstheme="minorBidi"/>
          <w:sz w:val="22"/>
          <w:szCs w:val="22"/>
          <w:lang w:val="en-AU" w:eastAsia="en-US"/>
        </w:rPr>
        <w:t>ork health and safety</w:t>
      </w:r>
      <w:r w:rsidR="00AB4B5F">
        <w:rPr>
          <w:rFonts w:asciiTheme="minorHAnsi" w:eastAsiaTheme="minorHAnsi" w:hAnsiTheme="minorHAnsi" w:cstheme="minorBidi"/>
          <w:sz w:val="22"/>
          <w:szCs w:val="22"/>
          <w:lang w:val="en-AU" w:eastAsia="en-US"/>
        </w:rPr>
        <w:t xml:space="preserve"> (WHS)</w:t>
      </w:r>
      <w:r w:rsidRPr="00E3757C">
        <w:rPr>
          <w:rFonts w:asciiTheme="minorHAnsi" w:eastAsiaTheme="minorHAnsi" w:hAnsiTheme="minorHAnsi" w:cstheme="minorBidi"/>
          <w:sz w:val="22"/>
          <w:szCs w:val="22"/>
          <w:lang w:val="en-AU" w:eastAsia="en-US"/>
        </w:rPr>
        <w:t xml:space="preserve"> laws and for eliminat</w:t>
      </w:r>
      <w:r w:rsidR="00EE26E4">
        <w:rPr>
          <w:rFonts w:asciiTheme="minorHAnsi" w:eastAsiaTheme="minorHAnsi" w:hAnsiTheme="minorHAnsi" w:cstheme="minorBidi"/>
          <w:sz w:val="22"/>
          <w:szCs w:val="22"/>
          <w:lang w:val="en-AU" w:eastAsia="en-US"/>
        </w:rPr>
        <w:t>ing</w:t>
      </w:r>
      <w:r w:rsidRPr="00E3757C">
        <w:rPr>
          <w:rFonts w:asciiTheme="minorHAnsi" w:eastAsiaTheme="minorHAnsi" w:hAnsiTheme="minorHAnsi" w:cstheme="minorBidi"/>
          <w:sz w:val="22"/>
          <w:szCs w:val="22"/>
          <w:lang w:val="en-AU" w:eastAsia="en-US"/>
        </w:rPr>
        <w:t xml:space="preserve"> or minimis</w:t>
      </w:r>
      <w:r w:rsidR="00EE26E4">
        <w:rPr>
          <w:rFonts w:asciiTheme="minorHAnsi" w:eastAsiaTheme="minorHAnsi" w:hAnsiTheme="minorHAnsi" w:cstheme="minorBidi"/>
          <w:sz w:val="22"/>
          <w:szCs w:val="22"/>
          <w:lang w:val="en-AU" w:eastAsia="en-US"/>
        </w:rPr>
        <w:t>ing</w:t>
      </w:r>
      <w:r w:rsidRPr="00E3757C">
        <w:rPr>
          <w:rFonts w:asciiTheme="minorHAnsi" w:eastAsiaTheme="minorHAnsi" w:hAnsiTheme="minorHAnsi" w:cstheme="minorBidi"/>
          <w:sz w:val="22"/>
          <w:szCs w:val="22"/>
          <w:lang w:val="en-AU" w:eastAsia="en-US"/>
        </w:rPr>
        <w:t xml:space="preserve"> the risk of sexual harassment in the workplace</w:t>
      </w:r>
      <w:r w:rsidR="001D1A77">
        <w:rPr>
          <w:rFonts w:asciiTheme="minorHAnsi" w:eastAsiaTheme="minorHAnsi" w:hAnsiTheme="minorHAnsi" w:cstheme="minorBidi"/>
          <w:sz w:val="22"/>
          <w:szCs w:val="22"/>
          <w:lang w:val="en-AU" w:eastAsia="en-US"/>
        </w:rPr>
        <w:t>, as far as reasonably practicable</w:t>
      </w:r>
      <w:r w:rsidRPr="00E3757C">
        <w:rPr>
          <w:rFonts w:asciiTheme="minorHAnsi" w:eastAsiaTheme="minorHAnsi" w:hAnsiTheme="minorHAnsi" w:cstheme="minorBidi"/>
          <w:sz w:val="22"/>
          <w:szCs w:val="22"/>
          <w:lang w:val="en-AU" w:eastAsia="en-US"/>
        </w:rPr>
        <w:t>.</w:t>
      </w:r>
    </w:p>
    <w:bookmarkEnd w:id="0"/>
    <w:p w14:paraId="47C52550" w14:textId="0318614C" w:rsidR="00E3757C" w:rsidRPr="00997738" w:rsidRDefault="00E3757C" w:rsidP="00E3757C">
      <w:pPr>
        <w:pStyle w:val="NormalWeb"/>
        <w:spacing w:after="0"/>
        <w:jc w:val="both"/>
        <w:rPr>
          <w:rFonts w:asciiTheme="minorHAnsi" w:eastAsiaTheme="minorHAnsi" w:hAnsiTheme="minorHAnsi" w:cstheme="minorBidi"/>
          <w:sz w:val="22"/>
          <w:szCs w:val="22"/>
          <w:lang w:val="en-AU" w:eastAsia="en-US"/>
        </w:rPr>
      </w:pPr>
      <w:r w:rsidRPr="00997738">
        <w:rPr>
          <w:rFonts w:asciiTheme="minorHAnsi" w:eastAsiaTheme="minorHAnsi" w:hAnsiTheme="minorHAnsi" w:cstheme="minorBidi"/>
          <w:sz w:val="22"/>
          <w:szCs w:val="22"/>
          <w:lang w:val="en-AU" w:eastAsia="en-US"/>
        </w:rPr>
        <w:t xml:space="preserve">Small business employers </w:t>
      </w:r>
      <w:r w:rsidR="004A6255">
        <w:rPr>
          <w:rFonts w:asciiTheme="minorHAnsi" w:eastAsiaTheme="minorHAnsi" w:hAnsiTheme="minorHAnsi" w:cstheme="minorBidi"/>
          <w:sz w:val="22"/>
          <w:szCs w:val="22"/>
          <w:lang w:val="en-AU" w:eastAsia="en-US"/>
        </w:rPr>
        <w:t xml:space="preserve">should ensure compliance with these duties, which may include </w:t>
      </w:r>
      <w:r w:rsidR="009137F8">
        <w:rPr>
          <w:rFonts w:asciiTheme="minorHAnsi" w:eastAsiaTheme="minorHAnsi" w:hAnsiTheme="minorHAnsi" w:cstheme="minorBidi"/>
          <w:sz w:val="22"/>
          <w:szCs w:val="22"/>
          <w:lang w:val="en-AU" w:eastAsia="en-US"/>
        </w:rPr>
        <w:t>(</w:t>
      </w:r>
      <w:r w:rsidR="004A6255">
        <w:rPr>
          <w:rFonts w:asciiTheme="minorHAnsi" w:eastAsiaTheme="minorHAnsi" w:hAnsiTheme="minorHAnsi" w:cstheme="minorBidi"/>
          <w:sz w:val="22"/>
          <w:szCs w:val="22"/>
          <w:lang w:val="en-AU" w:eastAsia="en-US"/>
        </w:rPr>
        <w:t>among other things</w:t>
      </w:r>
      <w:r w:rsidR="009137F8">
        <w:rPr>
          <w:rFonts w:asciiTheme="minorHAnsi" w:eastAsiaTheme="minorHAnsi" w:hAnsiTheme="minorHAnsi" w:cstheme="minorBidi"/>
          <w:sz w:val="22"/>
          <w:szCs w:val="22"/>
          <w:lang w:val="en-AU" w:eastAsia="en-US"/>
        </w:rPr>
        <w:t>)</w:t>
      </w:r>
      <w:r w:rsidRPr="00997738">
        <w:rPr>
          <w:rFonts w:asciiTheme="minorHAnsi" w:eastAsiaTheme="minorHAnsi" w:hAnsiTheme="minorHAnsi" w:cstheme="minorBidi"/>
          <w:sz w:val="22"/>
          <w:szCs w:val="22"/>
          <w:lang w:val="en-AU" w:eastAsia="en-US"/>
        </w:rPr>
        <w:t xml:space="preserve"> hav</w:t>
      </w:r>
      <w:r w:rsidR="004A6255">
        <w:rPr>
          <w:rFonts w:asciiTheme="minorHAnsi" w:eastAsiaTheme="minorHAnsi" w:hAnsiTheme="minorHAnsi" w:cstheme="minorBidi"/>
          <w:sz w:val="22"/>
          <w:szCs w:val="22"/>
          <w:lang w:val="en-AU" w:eastAsia="en-US"/>
        </w:rPr>
        <w:t>ing</w:t>
      </w:r>
      <w:r w:rsidRPr="00997738">
        <w:rPr>
          <w:rFonts w:asciiTheme="minorHAnsi" w:eastAsiaTheme="minorHAnsi" w:hAnsiTheme="minorHAnsi" w:cstheme="minorBidi"/>
          <w:sz w:val="22"/>
          <w:szCs w:val="22"/>
          <w:lang w:val="en-AU" w:eastAsia="en-US"/>
        </w:rPr>
        <w:t xml:space="preserve"> policies and procedures in place about how to prevent </w:t>
      </w:r>
      <w:r w:rsidR="00DA4D5C">
        <w:rPr>
          <w:rFonts w:asciiTheme="minorHAnsi" w:eastAsiaTheme="minorHAnsi" w:hAnsiTheme="minorHAnsi" w:cstheme="minorBidi"/>
          <w:sz w:val="22"/>
          <w:szCs w:val="22"/>
          <w:lang w:val="en-AU" w:eastAsia="en-US"/>
        </w:rPr>
        <w:t xml:space="preserve">sexual harassment </w:t>
      </w:r>
      <w:r w:rsidRPr="00997738">
        <w:rPr>
          <w:rFonts w:asciiTheme="minorHAnsi" w:eastAsiaTheme="minorHAnsi" w:hAnsiTheme="minorHAnsi" w:cstheme="minorBidi"/>
          <w:sz w:val="22"/>
          <w:szCs w:val="22"/>
          <w:lang w:val="en-AU" w:eastAsia="en-US"/>
        </w:rPr>
        <w:t xml:space="preserve">and handle sexual harassment complaints. These procedures should consider the context of the small business, where most staff may be on familiar terms with one another. It should also consider situations where incidents of sexual harassment occur through someone external to the small business, such as a supplier or customer. </w:t>
      </w:r>
    </w:p>
    <w:p w14:paraId="7135389D" w14:textId="3332CF9B" w:rsidR="00997738" w:rsidRDefault="00E3757C" w:rsidP="00997738">
      <w:pPr>
        <w:pStyle w:val="NormalWeb"/>
        <w:spacing w:after="0"/>
        <w:jc w:val="both"/>
        <w:rPr>
          <w:rFonts w:asciiTheme="minorHAnsi" w:eastAsiaTheme="minorHAnsi" w:hAnsiTheme="minorHAnsi" w:cstheme="minorBidi"/>
          <w:sz w:val="22"/>
          <w:szCs w:val="22"/>
          <w:lang w:val="en-AU" w:eastAsia="en-US"/>
        </w:rPr>
      </w:pPr>
      <w:r w:rsidRPr="00997738">
        <w:rPr>
          <w:rFonts w:asciiTheme="minorHAnsi" w:eastAsiaTheme="minorHAnsi" w:hAnsiTheme="minorHAnsi" w:cstheme="minorBidi"/>
          <w:sz w:val="22"/>
          <w:szCs w:val="22"/>
          <w:lang w:val="en-AU" w:eastAsia="en-US"/>
        </w:rPr>
        <w:t>It is important to treat any allegations of sexual harassment seriously and ensure the matter can be fully investigated in a sensitive, fair and timely manner.</w:t>
      </w:r>
    </w:p>
    <w:p w14:paraId="3F534161" w14:textId="6FB48A39" w:rsidR="00996E91" w:rsidRDefault="00996E91" w:rsidP="00E844EA">
      <w:pPr>
        <w:pStyle w:val="Heading2"/>
      </w:pPr>
      <w:r>
        <w:t>Considering confidentiality clauses for small business</w:t>
      </w:r>
    </w:p>
    <w:p w14:paraId="0F28B50D" w14:textId="58CF4A34" w:rsidR="00232855" w:rsidRPr="00AE02C0" w:rsidRDefault="00232855" w:rsidP="00232855">
      <w:pPr>
        <w:rPr>
          <w:rFonts w:cstheme="minorHAnsi"/>
          <w:lang w:val="en-GB"/>
        </w:rPr>
      </w:pPr>
      <w:r w:rsidRPr="00AE02C0">
        <w:rPr>
          <w:rFonts w:cstheme="minorHAnsi"/>
          <w:lang w:val="en-GB"/>
        </w:rPr>
        <w:t xml:space="preserve">Confidentiality clauses </w:t>
      </w:r>
      <w:r w:rsidR="00B108D1">
        <w:rPr>
          <w:rFonts w:cstheme="minorHAnsi"/>
          <w:lang w:val="en-GB"/>
        </w:rPr>
        <w:t xml:space="preserve">should not be seen as </w:t>
      </w:r>
      <w:r w:rsidRPr="00AE02C0">
        <w:rPr>
          <w:rFonts w:cstheme="minorHAnsi"/>
          <w:lang w:val="en-GB"/>
        </w:rPr>
        <w:t xml:space="preserve">a standard term </w:t>
      </w:r>
      <w:r w:rsidR="00FF56ED">
        <w:rPr>
          <w:rFonts w:cstheme="minorHAnsi"/>
          <w:lang w:val="en-GB"/>
        </w:rPr>
        <w:t>of</w:t>
      </w:r>
      <w:r w:rsidRPr="00AE02C0">
        <w:rPr>
          <w:rFonts w:cstheme="minorHAnsi"/>
          <w:lang w:val="en-GB"/>
        </w:rPr>
        <w:t xml:space="preserve"> workplace sexual harassment settlement agreements and should be used </w:t>
      </w:r>
      <w:r w:rsidR="00B108D1">
        <w:rPr>
          <w:rFonts w:cstheme="minorHAnsi"/>
          <w:lang w:val="en-GB"/>
        </w:rPr>
        <w:t>on a case-by-case basis.</w:t>
      </w:r>
      <w:r w:rsidRPr="00AE02C0">
        <w:rPr>
          <w:rFonts w:cstheme="minorHAnsi"/>
          <w:lang w:val="en-GB"/>
        </w:rPr>
        <w:t xml:space="preserve"> </w:t>
      </w:r>
    </w:p>
    <w:p w14:paraId="75633F9E" w14:textId="77777777" w:rsidR="0079749F" w:rsidRDefault="00032663" w:rsidP="00996E91">
      <w:pPr>
        <w:rPr>
          <w:lang w:val="en-GB"/>
        </w:rPr>
      </w:pPr>
      <w:r>
        <w:rPr>
          <w:lang w:val="en-GB"/>
        </w:rPr>
        <w:t>As a small business, you should consider how you want to communicate about sexual harassment, and ensure that any confidentiality clause does not prevent you from taking meaningful action to prevent and respond to sexual harassment</w:t>
      </w:r>
      <w:r w:rsidR="001D1A77">
        <w:rPr>
          <w:lang w:val="en-GB"/>
        </w:rPr>
        <w:t xml:space="preserve"> in your business</w:t>
      </w:r>
      <w:r>
        <w:rPr>
          <w:lang w:val="en-GB"/>
        </w:rPr>
        <w:t>.</w:t>
      </w:r>
      <w:r w:rsidRPr="00032663">
        <w:rPr>
          <w:lang w:val="en-GB"/>
        </w:rPr>
        <w:t xml:space="preserve"> </w:t>
      </w:r>
    </w:p>
    <w:p w14:paraId="7C27A1F7" w14:textId="0EA7FBCE" w:rsidR="00996E91" w:rsidRPr="00032663" w:rsidRDefault="00032663" w:rsidP="00996E91">
      <w:pPr>
        <w:rPr>
          <w:lang w:val="en-GB"/>
        </w:rPr>
      </w:pPr>
      <w:r w:rsidRPr="00032663">
        <w:rPr>
          <w:lang w:val="en-GB"/>
        </w:rPr>
        <w:t xml:space="preserve">By adopting strategies for the appropriate disclosure of information about the incidence of sexual harassment in workplaces and how the organisation responds to complaints, organisations can position themselves as promoters of a safe workplace culture that take </w:t>
      </w:r>
      <w:r w:rsidR="0079749F">
        <w:rPr>
          <w:lang w:val="en-GB"/>
        </w:rPr>
        <w:t>their</w:t>
      </w:r>
      <w:r w:rsidRPr="00032663">
        <w:rPr>
          <w:lang w:val="en-GB"/>
        </w:rPr>
        <w:t xml:space="preserve"> responsibility to </w:t>
      </w:r>
      <w:r w:rsidR="00031B90">
        <w:rPr>
          <w:lang w:val="en-GB"/>
        </w:rPr>
        <w:t xml:space="preserve">prevent and respond to </w:t>
      </w:r>
      <w:r w:rsidRPr="00032663">
        <w:rPr>
          <w:lang w:val="en-GB"/>
        </w:rPr>
        <w:t>sexual harassment seriously</w:t>
      </w:r>
      <w:r w:rsidR="00F72F2D">
        <w:rPr>
          <w:lang w:val="en-GB"/>
        </w:rPr>
        <w:t>.</w:t>
      </w:r>
    </w:p>
    <w:p w14:paraId="21C9D4F9" w14:textId="58175C93" w:rsidR="00E3757C" w:rsidRDefault="00997738" w:rsidP="00E844EA">
      <w:pPr>
        <w:pStyle w:val="Heading2"/>
      </w:pPr>
      <w:r w:rsidRPr="00565F5C">
        <w:t xml:space="preserve">Guidelines on the Use of Confidentiality Clauses in the Resolution of </w:t>
      </w:r>
      <w:r w:rsidR="003F3879">
        <w:t xml:space="preserve">Workplace </w:t>
      </w:r>
      <w:r w:rsidRPr="00565F5C">
        <w:t>Sexual Harassment Complaints</w:t>
      </w:r>
    </w:p>
    <w:p w14:paraId="22FEF17E" w14:textId="3877260B" w:rsidR="00997738" w:rsidRPr="00997738" w:rsidRDefault="00F36485" w:rsidP="00F36485">
      <w:r>
        <w:rPr>
          <w:lang w:val="en-GB"/>
        </w:rPr>
        <w:t xml:space="preserve">The </w:t>
      </w:r>
      <w:r w:rsidRPr="0069467D">
        <w:rPr>
          <w:i/>
          <w:lang w:val="en-GB"/>
        </w:rPr>
        <w:t xml:space="preserve">Guidelines </w:t>
      </w:r>
      <w:r w:rsidRPr="0069467D">
        <w:rPr>
          <w:i/>
        </w:rPr>
        <w:t>on the Use of Confidentiality Clauses in the Resolution of</w:t>
      </w:r>
      <w:r w:rsidR="003F3879" w:rsidRPr="0069467D">
        <w:rPr>
          <w:i/>
        </w:rPr>
        <w:t xml:space="preserve"> Workplace</w:t>
      </w:r>
      <w:r w:rsidRPr="0069467D">
        <w:rPr>
          <w:i/>
        </w:rPr>
        <w:t xml:space="preserve"> Sexual Harassment Complaints</w:t>
      </w:r>
      <w:r>
        <w:t xml:space="preserve"> sets out an approach to </w:t>
      </w:r>
      <w:r w:rsidR="00263D20">
        <w:t xml:space="preserve">negotiating a settlement agreement to resolve an </w:t>
      </w:r>
      <w:r w:rsidR="00263D20">
        <w:lastRenderedPageBreak/>
        <w:t>allegation of workplace sexual harassment</w:t>
      </w:r>
      <w:r w:rsidR="001D1A77">
        <w:t xml:space="preserve"> in your business</w:t>
      </w:r>
      <w:r>
        <w:t>. Y</w:t>
      </w:r>
      <w:r w:rsidR="00263D20">
        <w:t xml:space="preserve">ou should consider the following approach </w:t>
      </w:r>
      <w:r w:rsidR="00006B01">
        <w:t xml:space="preserve">to the </w:t>
      </w:r>
      <w:r w:rsidR="00997738" w:rsidRPr="00997738">
        <w:t>use of confidentiality clauses in all workplace sexual harassment settlement agreements:</w:t>
      </w:r>
    </w:p>
    <w:p w14:paraId="298327CC" w14:textId="77777777" w:rsidR="00997738" w:rsidRPr="00997738" w:rsidRDefault="00997738" w:rsidP="009C0159">
      <w:pPr>
        <w:numPr>
          <w:ilvl w:val="0"/>
          <w:numId w:val="6"/>
        </w:numPr>
        <w:spacing w:after="0"/>
      </w:pPr>
      <w:r w:rsidRPr="00997738">
        <w:t xml:space="preserve">Consider the need for a confidentiality clause on a case-by-case basis. </w:t>
      </w:r>
    </w:p>
    <w:p w14:paraId="279A795B" w14:textId="77777777" w:rsidR="00997738" w:rsidRPr="00997738" w:rsidRDefault="00997738" w:rsidP="009C0159">
      <w:pPr>
        <w:numPr>
          <w:ilvl w:val="0"/>
          <w:numId w:val="6"/>
        </w:numPr>
        <w:spacing w:after="0"/>
      </w:pPr>
      <w:r w:rsidRPr="00997738">
        <w:t xml:space="preserve">The scope and duration of the confidentiality clause should be as limited as possible. </w:t>
      </w:r>
    </w:p>
    <w:p w14:paraId="6C2E4D08" w14:textId="77777777" w:rsidR="00997738" w:rsidRPr="00997738" w:rsidRDefault="00997738" w:rsidP="009C0159">
      <w:pPr>
        <w:numPr>
          <w:ilvl w:val="0"/>
          <w:numId w:val="6"/>
        </w:numPr>
        <w:spacing w:after="0"/>
      </w:pPr>
      <w:r w:rsidRPr="00997738">
        <w:t>Confidentiality clauses should not prevent organisations from responding to systemic issues and providing a safer workplace.</w:t>
      </w:r>
    </w:p>
    <w:p w14:paraId="474E15DB" w14:textId="586139C8" w:rsidR="00997738" w:rsidRPr="00997738" w:rsidRDefault="001D1A77" w:rsidP="009C0159">
      <w:pPr>
        <w:numPr>
          <w:ilvl w:val="0"/>
          <w:numId w:val="6"/>
        </w:numPr>
        <w:spacing w:after="0"/>
      </w:pPr>
      <w:r>
        <w:t>All</w:t>
      </w:r>
      <w:r w:rsidR="00997738" w:rsidRPr="00997738">
        <w:t xml:space="preserve"> clauses in a settlement agreement </w:t>
      </w:r>
      <w:r>
        <w:t>should be</w:t>
      </w:r>
      <w:r w:rsidR="00D929C8">
        <w:t xml:space="preserve"> clear, </w:t>
      </w:r>
      <w:r w:rsidR="00997738" w:rsidRPr="00997738">
        <w:t>fair, in plain English and, where necessary, translated</w:t>
      </w:r>
      <w:r w:rsidR="00F80C11">
        <w:t xml:space="preserve"> and/or interpreted</w:t>
      </w:r>
      <w:r w:rsidR="00997738" w:rsidRPr="00997738">
        <w:t xml:space="preserve">. </w:t>
      </w:r>
    </w:p>
    <w:p w14:paraId="19A94668" w14:textId="77777777" w:rsidR="00997738" w:rsidRPr="00997738" w:rsidRDefault="00997738" w:rsidP="009C0159">
      <w:pPr>
        <w:numPr>
          <w:ilvl w:val="0"/>
          <w:numId w:val="6"/>
        </w:numPr>
        <w:spacing w:after="0"/>
      </w:pPr>
      <w:r w:rsidRPr="00997738">
        <w:t xml:space="preserve">The person who made the allegation should have access to independent support or advice to ensure they fully understand the meaning and impact of the settlement agreement, including any confidentiality clause. </w:t>
      </w:r>
    </w:p>
    <w:p w14:paraId="0DFEC113" w14:textId="2944CBBA" w:rsidR="00997738" w:rsidRDefault="00997738" w:rsidP="00E844EA">
      <w:pPr>
        <w:numPr>
          <w:ilvl w:val="0"/>
          <w:numId w:val="6"/>
        </w:numPr>
        <w:ind w:left="714" w:hanging="357"/>
      </w:pPr>
      <w:r w:rsidRPr="00997738">
        <w:t xml:space="preserve">Negotiations about the terms of a settlement agreement should ensure </w:t>
      </w:r>
      <w:r w:rsidR="00DA4D5C">
        <w:t xml:space="preserve">so far as possible </w:t>
      </w:r>
      <w:r w:rsidRPr="00997738">
        <w:t>the wellbeing and safety of the person who made the allegation, and be trauma-informed, culturally sensitive and intersectional.</w:t>
      </w:r>
    </w:p>
    <w:p w14:paraId="33DE0E46" w14:textId="68D65D3C" w:rsidR="00700527" w:rsidRDefault="00700527" w:rsidP="00E844EA">
      <w:pPr>
        <w:pStyle w:val="Heading2"/>
        <w:rPr>
          <w:rFonts w:eastAsia="Verdana"/>
        </w:rPr>
      </w:pPr>
      <w:r>
        <w:rPr>
          <w:rFonts w:eastAsia="Verdana"/>
        </w:rPr>
        <w:t xml:space="preserve">Questions to consider </w:t>
      </w:r>
    </w:p>
    <w:p w14:paraId="10038534" w14:textId="3B8B6886" w:rsidR="00700527" w:rsidRPr="008C2EDD" w:rsidRDefault="00700527" w:rsidP="00700527">
      <w:pPr>
        <w:pStyle w:val="ListParagraph"/>
        <w:numPr>
          <w:ilvl w:val="0"/>
          <w:numId w:val="15"/>
        </w:numPr>
        <w:rPr>
          <w:lang w:val="en-GB"/>
        </w:rPr>
      </w:pPr>
      <w:r w:rsidRPr="008C2EDD">
        <w:rPr>
          <w:lang w:val="en-GB"/>
        </w:rPr>
        <w:t xml:space="preserve">Have </w:t>
      </w:r>
      <w:r w:rsidR="00767572">
        <w:rPr>
          <w:lang w:val="en-GB"/>
        </w:rPr>
        <w:t>you</w:t>
      </w:r>
      <w:r w:rsidRPr="008C2EDD">
        <w:rPr>
          <w:lang w:val="en-GB"/>
        </w:rPr>
        <w:t xml:space="preserve"> </w:t>
      </w:r>
      <w:r>
        <w:rPr>
          <w:lang w:val="en-GB"/>
        </w:rPr>
        <w:t xml:space="preserve">considered </w:t>
      </w:r>
      <w:r w:rsidRPr="008C2EDD">
        <w:rPr>
          <w:lang w:val="en-GB"/>
        </w:rPr>
        <w:t xml:space="preserve">the </w:t>
      </w:r>
      <w:r w:rsidRPr="00EA0CD1">
        <w:rPr>
          <w:i/>
          <w:lang w:val="en-GB"/>
        </w:rPr>
        <w:t xml:space="preserve">Guidelines on the Use of Confidentiality Clauses in the Resolution of </w:t>
      </w:r>
      <w:r w:rsidR="00F80C11">
        <w:rPr>
          <w:i/>
          <w:lang w:val="en-GB"/>
        </w:rPr>
        <w:t xml:space="preserve">Workplace </w:t>
      </w:r>
      <w:r w:rsidRPr="00EA0CD1">
        <w:rPr>
          <w:i/>
          <w:lang w:val="en-GB"/>
        </w:rPr>
        <w:t>Sexual Harassment Complaints</w:t>
      </w:r>
      <w:r w:rsidR="009137F8">
        <w:rPr>
          <w:lang w:val="en-GB"/>
        </w:rPr>
        <w:t>, and provided a copy of the Guidelines to the people who are involved</w:t>
      </w:r>
      <w:r>
        <w:rPr>
          <w:lang w:val="en-GB"/>
        </w:rPr>
        <w:t xml:space="preserve">? </w:t>
      </w:r>
    </w:p>
    <w:p w14:paraId="164F220D" w14:textId="37550B12" w:rsidR="00767572" w:rsidRPr="00700527" w:rsidRDefault="00767572" w:rsidP="00767572">
      <w:pPr>
        <w:pStyle w:val="ListParagraph"/>
        <w:numPr>
          <w:ilvl w:val="0"/>
          <w:numId w:val="15"/>
        </w:numPr>
        <w:spacing w:before="120" w:after="120"/>
        <w:ind w:right="56"/>
        <w:rPr>
          <w:rFonts w:cstheme="minorHAnsi"/>
        </w:rPr>
      </w:pPr>
      <w:bookmarkStart w:id="1" w:name="_Hlk117673137"/>
      <w:bookmarkStart w:id="2" w:name="_Hlk92446684"/>
      <w:r w:rsidRPr="00700527">
        <w:rPr>
          <w:rFonts w:cstheme="minorHAnsi"/>
        </w:rPr>
        <w:t xml:space="preserve">Will a confidentiality clause be inconsistent with any of </w:t>
      </w:r>
      <w:r w:rsidR="009137F8">
        <w:rPr>
          <w:rFonts w:cstheme="minorHAnsi"/>
        </w:rPr>
        <w:t xml:space="preserve">your </w:t>
      </w:r>
      <w:r w:rsidRPr="00700527">
        <w:rPr>
          <w:rFonts w:cstheme="minorHAnsi"/>
        </w:rPr>
        <w:t xml:space="preserve">organisation’s statutory duties (such as under the </w:t>
      </w:r>
      <w:r w:rsidRPr="00700527">
        <w:rPr>
          <w:rFonts w:cstheme="minorHAnsi"/>
          <w:i/>
          <w:iCs/>
        </w:rPr>
        <w:t>Fair Work Act 2009</w:t>
      </w:r>
      <w:r w:rsidR="0069467D">
        <w:rPr>
          <w:rFonts w:cstheme="minorHAnsi"/>
          <w:i/>
          <w:iCs/>
        </w:rPr>
        <w:t xml:space="preserve"> </w:t>
      </w:r>
      <w:r w:rsidR="0069467D" w:rsidRPr="0069467D">
        <w:rPr>
          <w:rFonts w:cstheme="minorHAnsi"/>
          <w:iCs/>
        </w:rPr>
        <w:t>(Cth)</w:t>
      </w:r>
      <w:r w:rsidRPr="0069467D">
        <w:rPr>
          <w:rFonts w:cstheme="minorHAnsi"/>
        </w:rPr>
        <w:t>,</w:t>
      </w:r>
      <w:r w:rsidRPr="00700527">
        <w:rPr>
          <w:rFonts w:cstheme="minorHAnsi"/>
        </w:rPr>
        <w:t xml:space="preserve"> discrimination law and WHS law)</w:t>
      </w:r>
      <w:r>
        <w:rPr>
          <w:rFonts w:cstheme="minorHAnsi"/>
        </w:rPr>
        <w:t>,</w:t>
      </w:r>
      <w:r w:rsidRPr="00767572">
        <w:rPr>
          <w:rFonts w:cstheme="minorHAnsi"/>
          <w:lang w:val="en-GB"/>
        </w:rPr>
        <w:t xml:space="preserve"> </w:t>
      </w:r>
      <w:r w:rsidRPr="00F559B3">
        <w:rPr>
          <w:rFonts w:cstheme="minorHAnsi"/>
          <w:lang w:val="en-GB"/>
        </w:rPr>
        <w:t xml:space="preserve">or </w:t>
      </w:r>
      <w:r w:rsidRPr="00F559B3">
        <w:rPr>
          <w:rFonts w:cstheme="minorHAnsi"/>
        </w:rPr>
        <w:t xml:space="preserve">limit </w:t>
      </w:r>
      <w:r w:rsidR="00014921">
        <w:rPr>
          <w:rFonts w:cstheme="minorHAnsi"/>
        </w:rPr>
        <w:t>the</w:t>
      </w:r>
      <w:r w:rsidRPr="00F559B3">
        <w:rPr>
          <w:rFonts w:cstheme="minorHAnsi"/>
        </w:rPr>
        <w:t xml:space="preserve"> organisation’s ability to collect data on or report on allegations of sexual harassment</w:t>
      </w:r>
      <w:r w:rsidRPr="000A3046">
        <w:rPr>
          <w:lang w:val="en-GB"/>
        </w:rPr>
        <w:t>?</w:t>
      </w:r>
    </w:p>
    <w:bookmarkEnd w:id="1"/>
    <w:p w14:paraId="2DC0D6CE" w14:textId="03F38DCE" w:rsidR="00767572" w:rsidRPr="00700527" w:rsidRDefault="00767572" w:rsidP="00767572">
      <w:pPr>
        <w:pStyle w:val="ListParagraph"/>
        <w:numPr>
          <w:ilvl w:val="0"/>
          <w:numId w:val="15"/>
        </w:numPr>
        <w:spacing w:before="120" w:after="120"/>
        <w:ind w:right="56"/>
        <w:rPr>
          <w:rFonts w:cstheme="minorHAnsi"/>
        </w:rPr>
      </w:pPr>
      <w:r w:rsidRPr="00700527">
        <w:rPr>
          <w:rFonts w:cstheme="minorHAnsi"/>
        </w:rPr>
        <w:t xml:space="preserve">Is </w:t>
      </w:r>
      <w:r w:rsidR="009137F8">
        <w:rPr>
          <w:rFonts w:cstheme="minorHAnsi"/>
        </w:rPr>
        <w:t>your</w:t>
      </w:r>
      <w:r w:rsidR="009137F8" w:rsidRPr="00700527">
        <w:rPr>
          <w:rFonts w:cstheme="minorHAnsi"/>
        </w:rPr>
        <w:t xml:space="preserve"> </w:t>
      </w:r>
      <w:r w:rsidRPr="00700527">
        <w:rPr>
          <w:rFonts w:cstheme="minorHAnsi"/>
        </w:rPr>
        <w:t>organisation managing the use of confidentiality clauses in a way that allows it to address existing or emerging cultural or systemic issues relating to sexual harassment, including repeated conduct?</w:t>
      </w:r>
    </w:p>
    <w:p w14:paraId="74DA0D88" w14:textId="3193C252" w:rsidR="00767572" w:rsidRPr="00700527" w:rsidRDefault="00767572" w:rsidP="00767572">
      <w:pPr>
        <w:pStyle w:val="ListParagraph"/>
        <w:numPr>
          <w:ilvl w:val="0"/>
          <w:numId w:val="15"/>
        </w:numPr>
        <w:spacing w:before="120" w:after="120"/>
        <w:ind w:right="56"/>
        <w:rPr>
          <w:rFonts w:cstheme="minorHAnsi"/>
        </w:rPr>
      </w:pPr>
      <w:r w:rsidRPr="00700527">
        <w:rPr>
          <w:rFonts w:cstheme="minorHAnsi"/>
        </w:rPr>
        <w:t xml:space="preserve">Are there aspects of the workplace sexual harassment complaint or allegation that should be made public – for example, to demonstrate </w:t>
      </w:r>
      <w:r w:rsidR="009137F8">
        <w:rPr>
          <w:rFonts w:cstheme="minorHAnsi"/>
        </w:rPr>
        <w:t>your</w:t>
      </w:r>
      <w:r w:rsidR="009137F8" w:rsidRPr="00700527">
        <w:rPr>
          <w:rFonts w:cstheme="minorHAnsi"/>
        </w:rPr>
        <w:t xml:space="preserve"> </w:t>
      </w:r>
      <w:r w:rsidRPr="00700527">
        <w:rPr>
          <w:rFonts w:cstheme="minorHAnsi"/>
        </w:rPr>
        <w:t>organisation’s commitment to taking measures in response?</w:t>
      </w:r>
    </w:p>
    <w:p w14:paraId="02C3A8EB" w14:textId="7C1CAECE" w:rsidR="00700527" w:rsidRPr="00014921" w:rsidRDefault="00700527" w:rsidP="00767572">
      <w:pPr>
        <w:pStyle w:val="ListParagraph"/>
        <w:numPr>
          <w:ilvl w:val="0"/>
          <w:numId w:val="15"/>
        </w:numPr>
        <w:rPr>
          <w:lang w:val="en-GB"/>
        </w:rPr>
      </w:pPr>
      <w:r w:rsidRPr="000A3046">
        <w:rPr>
          <w:lang w:val="en-GB"/>
        </w:rPr>
        <w:t xml:space="preserve">Have </w:t>
      </w:r>
      <w:r>
        <w:rPr>
          <w:lang w:val="en-GB"/>
        </w:rPr>
        <w:t xml:space="preserve">all </w:t>
      </w:r>
      <w:r w:rsidRPr="000A3046">
        <w:rPr>
          <w:lang w:val="en-GB"/>
        </w:rPr>
        <w:t xml:space="preserve">parties been given time </w:t>
      </w:r>
      <w:r>
        <w:rPr>
          <w:lang w:val="en-GB"/>
        </w:rPr>
        <w:t xml:space="preserve">and appropriate referrals to support services (including legal advice) </w:t>
      </w:r>
      <w:r w:rsidRPr="000A3046">
        <w:rPr>
          <w:lang w:val="en-GB"/>
        </w:rPr>
        <w:t>to understand their rights and obligations under the settlement agreement?</w:t>
      </w:r>
      <w:bookmarkEnd w:id="2"/>
    </w:p>
    <w:p w14:paraId="4AC4541B" w14:textId="77777777" w:rsidR="00565F5C" w:rsidRDefault="00565F5C" w:rsidP="00E844EA">
      <w:pPr>
        <w:pStyle w:val="Heading2"/>
        <w:rPr>
          <w:lang w:val="sr-Latn-RS"/>
        </w:rPr>
      </w:pPr>
      <w:r w:rsidRPr="00565F5C">
        <w:rPr>
          <w:lang w:val="sr-Latn-RS"/>
        </w:rPr>
        <w:t>Who</w:t>
      </w:r>
      <w:r w:rsidR="00803476">
        <w:rPr>
          <w:lang w:val="sr-Latn-RS"/>
        </w:rPr>
        <w:t xml:space="preserve"> can I </w:t>
      </w:r>
      <w:r w:rsidRPr="00565F5C">
        <w:rPr>
          <w:lang w:val="sr-Latn-RS"/>
        </w:rPr>
        <w:t>contact for more information or support?</w:t>
      </w:r>
    </w:p>
    <w:p w14:paraId="1FA12B20" w14:textId="77777777" w:rsidR="008E342E" w:rsidRDefault="008E342E" w:rsidP="006B3206">
      <w:pPr>
        <w:spacing w:before="120" w:after="240"/>
        <w:ind w:right="56"/>
        <w:rPr>
          <w:rFonts w:cstheme="majorHAnsi"/>
          <w:iCs/>
        </w:rPr>
      </w:pPr>
      <w:r>
        <w:rPr>
          <w:rFonts w:cstheme="majorHAnsi"/>
          <w:iCs/>
        </w:rPr>
        <w:t>Where to seek help (sexual harassment and sexual assault support services, legal services, mental health services and advocacy support)</w:t>
      </w:r>
    </w:p>
    <w:p w14:paraId="05002453" w14:textId="0C111BD6" w:rsidR="008E342E" w:rsidRPr="0026152F" w:rsidRDefault="00350D46" w:rsidP="006B3206">
      <w:pPr>
        <w:pStyle w:val="ListParagraph"/>
        <w:numPr>
          <w:ilvl w:val="0"/>
          <w:numId w:val="18"/>
        </w:numPr>
        <w:spacing w:before="120" w:after="240"/>
        <w:ind w:right="56"/>
        <w:rPr>
          <w:rFonts w:cstheme="majorHAnsi"/>
          <w:iCs/>
        </w:rPr>
      </w:pPr>
      <w:hyperlink r:id="rId6" w:history="1">
        <w:r w:rsidR="00D929C8">
          <w:rPr>
            <w:rStyle w:val="Hyperlink"/>
            <w:rFonts w:cstheme="majorHAnsi"/>
            <w:iCs/>
          </w:rPr>
          <w:t>Respect@Work website</w:t>
        </w:r>
      </w:hyperlink>
    </w:p>
    <w:p w14:paraId="16298BD8" w14:textId="076586BC" w:rsidR="00565F5C" w:rsidRPr="00565F5C" w:rsidRDefault="00565F5C" w:rsidP="006B3206">
      <w:pPr>
        <w:spacing w:before="120" w:after="240"/>
        <w:rPr>
          <w:lang w:val="en-GB"/>
        </w:rPr>
      </w:pPr>
      <w:r w:rsidRPr="00565F5C">
        <w:rPr>
          <w:lang w:val="en-GB"/>
        </w:rPr>
        <w:t>For complaints and more information</w:t>
      </w:r>
      <w:r w:rsidR="0003020F">
        <w:rPr>
          <w:lang w:val="en-GB"/>
        </w:rPr>
        <w:t xml:space="preserve"> about workplace rights and entitlements</w:t>
      </w:r>
    </w:p>
    <w:p w14:paraId="224625B1" w14:textId="1D916BD1" w:rsidR="00D929C8" w:rsidRPr="00AB4B5F" w:rsidRDefault="00350D46" w:rsidP="006B3206">
      <w:pPr>
        <w:pStyle w:val="ListParagraph"/>
        <w:numPr>
          <w:ilvl w:val="0"/>
          <w:numId w:val="18"/>
        </w:numPr>
        <w:spacing w:before="120" w:after="240"/>
        <w:ind w:left="782" w:hanging="357"/>
        <w:rPr>
          <w:lang w:val="en-GB"/>
        </w:rPr>
      </w:pPr>
      <w:hyperlink r:id="rId7" w:history="1">
        <w:r w:rsidR="008F7E81">
          <w:rPr>
            <w:rStyle w:val="Hyperlink"/>
            <w:lang w:val="en-GB"/>
          </w:rPr>
          <w:t>Fair Work Commission website</w:t>
        </w:r>
      </w:hyperlink>
      <w:r w:rsidR="00803476" w:rsidRPr="00AB4B5F">
        <w:rPr>
          <w:lang w:val="en-GB"/>
        </w:rPr>
        <w:t xml:space="preserve"> </w:t>
      </w:r>
    </w:p>
    <w:p w14:paraId="29D20926" w14:textId="5F7B6846" w:rsidR="00D929C8" w:rsidRPr="00AB4B5F" w:rsidRDefault="00350D46" w:rsidP="006B3206">
      <w:pPr>
        <w:pStyle w:val="ListParagraph"/>
        <w:numPr>
          <w:ilvl w:val="0"/>
          <w:numId w:val="18"/>
        </w:numPr>
        <w:spacing w:before="120" w:after="240"/>
        <w:ind w:left="782" w:hanging="357"/>
        <w:rPr>
          <w:rStyle w:val="Hyperlink"/>
          <w:color w:val="auto"/>
          <w:u w:val="none"/>
          <w:lang w:val="en-GB"/>
        </w:rPr>
      </w:pPr>
      <w:hyperlink r:id="rId8" w:history="1">
        <w:r w:rsidR="008F7E81">
          <w:rPr>
            <w:rStyle w:val="Hyperlink"/>
            <w:lang w:val="en-GB"/>
          </w:rPr>
          <w:t>Australian Human Rights Commission website</w:t>
        </w:r>
      </w:hyperlink>
    </w:p>
    <w:p w14:paraId="77E70456" w14:textId="2FE13881" w:rsidR="00292C20" w:rsidRPr="006B3206" w:rsidRDefault="00350D46" w:rsidP="006B3206">
      <w:pPr>
        <w:pStyle w:val="ListParagraph"/>
        <w:numPr>
          <w:ilvl w:val="0"/>
          <w:numId w:val="18"/>
        </w:numPr>
        <w:spacing w:before="120" w:after="240"/>
        <w:ind w:left="782" w:hanging="357"/>
        <w:rPr>
          <w:lang w:val="en-GB"/>
        </w:rPr>
      </w:pPr>
      <w:hyperlink r:id="rId9" w:history="1">
        <w:r w:rsidR="00AB2D5C">
          <w:rPr>
            <w:rStyle w:val="Hyperlink"/>
            <w:lang w:val="en-GB"/>
          </w:rPr>
          <w:t>Fair Work Ombuds</w:t>
        </w:r>
        <w:bookmarkStart w:id="3" w:name="_GoBack"/>
        <w:bookmarkEnd w:id="3"/>
        <w:r w:rsidR="00AB2D5C">
          <w:rPr>
            <w:rStyle w:val="Hyperlink"/>
            <w:lang w:val="en-GB"/>
          </w:rPr>
          <w:t>man website</w:t>
        </w:r>
      </w:hyperlink>
    </w:p>
    <w:p w14:paraId="5951BC28" w14:textId="42CD69FF" w:rsidR="008E342E" w:rsidRPr="002A5B2A" w:rsidRDefault="008E342E" w:rsidP="006B3206">
      <w:pPr>
        <w:spacing w:before="120" w:after="240"/>
        <w:ind w:right="56"/>
        <w:rPr>
          <w:rFonts w:cstheme="majorHAnsi"/>
          <w:b/>
          <w:i/>
          <w:iCs/>
        </w:rPr>
      </w:pPr>
      <w:r w:rsidRPr="008E342E">
        <w:rPr>
          <w:rFonts w:cstheme="majorHAnsi"/>
          <w:iCs/>
        </w:rPr>
        <w:t xml:space="preserve">Guide to external pathways to address sexual harassment (support services, anti-discrimination and human rights bodies, workplace relations bodies, </w:t>
      </w:r>
      <w:r w:rsidR="00D929C8">
        <w:rPr>
          <w:rFonts w:cstheme="majorHAnsi"/>
          <w:iCs/>
        </w:rPr>
        <w:t xml:space="preserve">and </w:t>
      </w:r>
      <w:r w:rsidRPr="008E342E">
        <w:rPr>
          <w:rFonts w:cstheme="majorHAnsi"/>
          <w:iCs/>
        </w:rPr>
        <w:t>work health and safety regulators</w:t>
      </w:r>
      <w:r w:rsidR="00D929C8">
        <w:rPr>
          <w:rFonts w:cstheme="majorHAnsi"/>
          <w:iCs/>
        </w:rPr>
        <w:t>)</w:t>
      </w:r>
    </w:p>
    <w:p w14:paraId="7D9F2C8A" w14:textId="48990482" w:rsidR="00D929C8" w:rsidRPr="006B3206" w:rsidRDefault="00350D46" w:rsidP="006B3206">
      <w:pPr>
        <w:pStyle w:val="ListParagraph"/>
        <w:numPr>
          <w:ilvl w:val="0"/>
          <w:numId w:val="25"/>
        </w:numPr>
        <w:spacing w:before="120" w:after="240"/>
        <w:ind w:right="56"/>
        <w:rPr>
          <w:rFonts w:cstheme="majorHAnsi"/>
          <w:color w:val="0563C1" w:themeColor="hyperlink"/>
          <w:u w:val="single"/>
        </w:rPr>
      </w:pPr>
      <w:hyperlink r:id="rId10" w:history="1">
        <w:r w:rsidR="008E342E" w:rsidRPr="00AB4B5F">
          <w:rPr>
            <w:rStyle w:val="Hyperlink"/>
            <w:rFonts w:cstheme="majorHAnsi"/>
          </w:rPr>
          <w:t>Guide to external pathways</w:t>
        </w:r>
      </w:hyperlink>
      <w:hyperlink r:id="rId11"/>
    </w:p>
    <w:p w14:paraId="24BC166B" w14:textId="41C3BF3C" w:rsidR="00E3757C" w:rsidRPr="00E3757C" w:rsidRDefault="00E3757C" w:rsidP="006B3206">
      <w:pPr>
        <w:spacing w:before="120" w:after="240"/>
        <w:rPr>
          <w:lang w:val="en-GB"/>
        </w:rPr>
      </w:pPr>
      <w:r w:rsidRPr="00E3757C">
        <w:rPr>
          <w:lang w:val="en-GB"/>
        </w:rPr>
        <w:lastRenderedPageBreak/>
        <w:t>Other support services</w:t>
      </w:r>
    </w:p>
    <w:p w14:paraId="5EB4CCDA" w14:textId="5C8BD8B5" w:rsidR="00E3757C" w:rsidRPr="00F92E87" w:rsidRDefault="00350D46" w:rsidP="006B3206">
      <w:pPr>
        <w:pStyle w:val="ListParagraph"/>
        <w:numPr>
          <w:ilvl w:val="0"/>
          <w:numId w:val="25"/>
        </w:numPr>
        <w:spacing w:before="120" w:after="240"/>
        <w:ind w:right="56"/>
        <w:rPr>
          <w:rStyle w:val="Hyperlink"/>
          <w:rFonts w:cstheme="majorHAnsi"/>
        </w:rPr>
      </w:pPr>
      <w:hyperlink r:id="rId12" w:history="1">
        <w:r w:rsidR="00AB2D5C">
          <w:rPr>
            <w:rStyle w:val="Hyperlink"/>
            <w:rFonts w:cstheme="majorHAnsi"/>
          </w:rPr>
          <w:t>Translating and Interpreting Services website</w:t>
        </w:r>
      </w:hyperlink>
    </w:p>
    <w:p w14:paraId="4AA5BCBF" w14:textId="1EBC4AD1" w:rsidR="00E3757C" w:rsidRPr="00F92E87" w:rsidRDefault="00350D46" w:rsidP="006B3206">
      <w:pPr>
        <w:pStyle w:val="ListParagraph"/>
        <w:numPr>
          <w:ilvl w:val="0"/>
          <w:numId w:val="25"/>
        </w:numPr>
        <w:spacing w:before="120" w:after="240"/>
        <w:ind w:right="56"/>
        <w:rPr>
          <w:rStyle w:val="Hyperlink"/>
          <w:rFonts w:cstheme="majorHAnsi"/>
        </w:rPr>
      </w:pPr>
      <w:hyperlink r:id="rId13" w:history="1">
        <w:r w:rsidR="00AB2D5C">
          <w:rPr>
            <w:rStyle w:val="Hyperlink"/>
            <w:rFonts w:cstheme="majorHAnsi"/>
          </w:rPr>
          <w:t>Blue Knot Foundation website</w:t>
        </w:r>
      </w:hyperlink>
    </w:p>
    <w:sectPr w:rsidR="00E3757C" w:rsidRPr="00F92E8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hnschrift Light Condensed">
    <w:panose1 w:val="020B0502040204020203"/>
    <w:charset w:val="00"/>
    <w:family w:val="swiss"/>
    <w:pitch w:val="variable"/>
    <w:sig w:usb0="A00002C7" w:usb1="00000002" w:usb2="00000000" w:usb3="00000000" w:csb0="000001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051873"/>
    <w:multiLevelType w:val="hybridMultilevel"/>
    <w:tmpl w:val="D33C425E"/>
    <w:lvl w:ilvl="0" w:tplc="0C090001">
      <w:start w:val="1"/>
      <w:numFmt w:val="bullet"/>
      <w:lvlText w:val=""/>
      <w:lvlJc w:val="left"/>
      <w:pPr>
        <w:ind w:left="567" w:hanging="360"/>
      </w:pPr>
      <w:rPr>
        <w:rFonts w:ascii="Symbol" w:hAnsi="Symbol" w:hint="default"/>
      </w:rPr>
    </w:lvl>
    <w:lvl w:ilvl="1" w:tplc="0C090003" w:tentative="1">
      <w:start w:val="1"/>
      <w:numFmt w:val="bullet"/>
      <w:lvlText w:val="o"/>
      <w:lvlJc w:val="left"/>
      <w:pPr>
        <w:ind w:left="1287" w:hanging="360"/>
      </w:pPr>
      <w:rPr>
        <w:rFonts w:ascii="Courier New" w:hAnsi="Courier New" w:cs="Courier New" w:hint="default"/>
      </w:rPr>
    </w:lvl>
    <w:lvl w:ilvl="2" w:tplc="0C090005" w:tentative="1">
      <w:start w:val="1"/>
      <w:numFmt w:val="bullet"/>
      <w:lvlText w:val=""/>
      <w:lvlJc w:val="left"/>
      <w:pPr>
        <w:ind w:left="2007" w:hanging="360"/>
      </w:pPr>
      <w:rPr>
        <w:rFonts w:ascii="Wingdings" w:hAnsi="Wingdings" w:hint="default"/>
      </w:rPr>
    </w:lvl>
    <w:lvl w:ilvl="3" w:tplc="0C090001" w:tentative="1">
      <w:start w:val="1"/>
      <w:numFmt w:val="bullet"/>
      <w:lvlText w:val=""/>
      <w:lvlJc w:val="left"/>
      <w:pPr>
        <w:ind w:left="2727" w:hanging="360"/>
      </w:pPr>
      <w:rPr>
        <w:rFonts w:ascii="Symbol" w:hAnsi="Symbol" w:hint="default"/>
      </w:rPr>
    </w:lvl>
    <w:lvl w:ilvl="4" w:tplc="0C090003" w:tentative="1">
      <w:start w:val="1"/>
      <w:numFmt w:val="bullet"/>
      <w:lvlText w:val="o"/>
      <w:lvlJc w:val="left"/>
      <w:pPr>
        <w:ind w:left="3447" w:hanging="360"/>
      </w:pPr>
      <w:rPr>
        <w:rFonts w:ascii="Courier New" w:hAnsi="Courier New" w:cs="Courier New" w:hint="default"/>
      </w:rPr>
    </w:lvl>
    <w:lvl w:ilvl="5" w:tplc="0C090005" w:tentative="1">
      <w:start w:val="1"/>
      <w:numFmt w:val="bullet"/>
      <w:lvlText w:val=""/>
      <w:lvlJc w:val="left"/>
      <w:pPr>
        <w:ind w:left="4167" w:hanging="360"/>
      </w:pPr>
      <w:rPr>
        <w:rFonts w:ascii="Wingdings" w:hAnsi="Wingdings" w:hint="default"/>
      </w:rPr>
    </w:lvl>
    <w:lvl w:ilvl="6" w:tplc="0C090001" w:tentative="1">
      <w:start w:val="1"/>
      <w:numFmt w:val="bullet"/>
      <w:lvlText w:val=""/>
      <w:lvlJc w:val="left"/>
      <w:pPr>
        <w:ind w:left="4887" w:hanging="360"/>
      </w:pPr>
      <w:rPr>
        <w:rFonts w:ascii="Symbol" w:hAnsi="Symbol" w:hint="default"/>
      </w:rPr>
    </w:lvl>
    <w:lvl w:ilvl="7" w:tplc="0C090003" w:tentative="1">
      <w:start w:val="1"/>
      <w:numFmt w:val="bullet"/>
      <w:lvlText w:val="o"/>
      <w:lvlJc w:val="left"/>
      <w:pPr>
        <w:ind w:left="5607" w:hanging="360"/>
      </w:pPr>
      <w:rPr>
        <w:rFonts w:ascii="Courier New" w:hAnsi="Courier New" w:cs="Courier New" w:hint="default"/>
      </w:rPr>
    </w:lvl>
    <w:lvl w:ilvl="8" w:tplc="0C090005" w:tentative="1">
      <w:start w:val="1"/>
      <w:numFmt w:val="bullet"/>
      <w:lvlText w:val=""/>
      <w:lvlJc w:val="left"/>
      <w:pPr>
        <w:ind w:left="6327" w:hanging="360"/>
      </w:pPr>
      <w:rPr>
        <w:rFonts w:ascii="Wingdings" w:hAnsi="Wingdings" w:hint="default"/>
      </w:rPr>
    </w:lvl>
  </w:abstractNum>
  <w:abstractNum w:abstractNumId="1" w15:restartNumberingAfterBreak="0">
    <w:nsid w:val="0D720815"/>
    <w:multiLevelType w:val="hybridMultilevel"/>
    <w:tmpl w:val="9852F4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8621875"/>
    <w:multiLevelType w:val="hybridMultilevel"/>
    <w:tmpl w:val="8A02E2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5171456"/>
    <w:multiLevelType w:val="hybridMultilevel"/>
    <w:tmpl w:val="22BA8598"/>
    <w:lvl w:ilvl="0" w:tplc="ACD0319C">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B48249A"/>
    <w:multiLevelType w:val="hybridMultilevel"/>
    <w:tmpl w:val="E5C2F87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2B8248AD"/>
    <w:multiLevelType w:val="hybridMultilevel"/>
    <w:tmpl w:val="66A4FC3E"/>
    <w:lvl w:ilvl="0" w:tplc="8BB4EF64">
      <w:start w:val="1"/>
      <w:numFmt w:val="bullet"/>
      <w:lvlText w:val=""/>
      <w:lvlJc w:val="left"/>
      <w:pPr>
        <w:ind w:left="786" w:hanging="360"/>
      </w:pPr>
      <w:rPr>
        <w:rFonts w:ascii="Symbol" w:hAnsi="Symbol" w:hint="default"/>
        <w:color w:val="auto"/>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6" w15:restartNumberingAfterBreak="0">
    <w:nsid w:val="353D253E"/>
    <w:multiLevelType w:val="hybridMultilevel"/>
    <w:tmpl w:val="E868A15A"/>
    <w:lvl w:ilvl="0" w:tplc="6944D5E4">
      <w:numFmt w:val="bullet"/>
      <w:lvlText w:val="-"/>
      <w:lvlJc w:val="left"/>
      <w:pPr>
        <w:ind w:left="720" w:hanging="360"/>
      </w:pPr>
      <w:rPr>
        <w:rFonts w:ascii="Bahnschrift Light Condensed" w:eastAsia="Times New Roman" w:hAnsi="Bahnschrift Light Condensed"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7335AD8"/>
    <w:multiLevelType w:val="hybridMultilevel"/>
    <w:tmpl w:val="AF8289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B445372"/>
    <w:multiLevelType w:val="hybridMultilevel"/>
    <w:tmpl w:val="50A05C52"/>
    <w:lvl w:ilvl="0" w:tplc="EC38AF8A">
      <w:numFmt w:val="bullet"/>
      <w:lvlText w:val="-"/>
      <w:lvlJc w:val="left"/>
      <w:pPr>
        <w:ind w:left="720" w:hanging="360"/>
      </w:pPr>
      <w:rPr>
        <w:rFonts w:ascii="Calibri" w:eastAsiaTheme="minorHAnsi" w:hAnsi="Calibri" w:cs="Calibri" w:hint="default"/>
      </w:rPr>
    </w:lvl>
    <w:lvl w:ilvl="1" w:tplc="E1C03E10">
      <w:start w:val="1"/>
      <w:numFmt w:val="bullet"/>
      <w:lvlText w:val="□"/>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B590713"/>
    <w:multiLevelType w:val="hybridMultilevel"/>
    <w:tmpl w:val="112AB532"/>
    <w:lvl w:ilvl="0" w:tplc="8DCE790E">
      <w:numFmt w:val="bullet"/>
      <w:lvlText w:val="-"/>
      <w:lvlJc w:val="left"/>
      <w:pPr>
        <w:ind w:left="360" w:hanging="360"/>
      </w:pPr>
      <w:rPr>
        <w:rFonts w:ascii="Calibri" w:eastAsiaTheme="minorHAnsi" w:hAnsi="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3B5C6C20"/>
    <w:multiLevelType w:val="hybridMultilevel"/>
    <w:tmpl w:val="8E4EBCE4"/>
    <w:lvl w:ilvl="0" w:tplc="6944D5E4">
      <w:numFmt w:val="bullet"/>
      <w:lvlText w:val="-"/>
      <w:lvlJc w:val="left"/>
      <w:pPr>
        <w:ind w:left="720" w:hanging="360"/>
      </w:pPr>
      <w:rPr>
        <w:rFonts w:ascii="Bahnschrift Light Condensed" w:eastAsia="Times New Roman" w:hAnsi="Bahnschrift Light Condensed"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1300741"/>
    <w:multiLevelType w:val="hybridMultilevel"/>
    <w:tmpl w:val="B160660C"/>
    <w:lvl w:ilvl="0" w:tplc="3DE4BED2">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55B0456"/>
    <w:multiLevelType w:val="hybridMultilevel"/>
    <w:tmpl w:val="2BC6D8CA"/>
    <w:lvl w:ilvl="0" w:tplc="EC38AF8A">
      <w:numFmt w:val="bullet"/>
      <w:lvlText w:val="-"/>
      <w:lvlJc w:val="left"/>
      <w:pPr>
        <w:ind w:left="1429" w:hanging="360"/>
      </w:pPr>
      <w:rPr>
        <w:rFonts w:ascii="Calibri" w:eastAsiaTheme="minorHAnsi" w:hAnsi="Calibri" w:cs="Calibri"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3" w15:restartNumberingAfterBreak="0">
    <w:nsid w:val="46F61577"/>
    <w:multiLevelType w:val="hybridMultilevel"/>
    <w:tmpl w:val="5B0414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A9A354C"/>
    <w:multiLevelType w:val="hybridMultilevel"/>
    <w:tmpl w:val="B7F4C54E"/>
    <w:lvl w:ilvl="0" w:tplc="8D36B628">
      <w:numFmt w:val="bullet"/>
      <w:lvlText w:val="-"/>
      <w:lvlJc w:val="left"/>
      <w:pPr>
        <w:ind w:left="720" w:hanging="360"/>
      </w:pPr>
      <w:rPr>
        <w:rFonts w:ascii="Bahnschrift Light Condensed" w:eastAsia="Verdana" w:hAnsi="Bahnschrift Light Condensed" w:cs="Lucida Sans Unicode"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BFA7249"/>
    <w:multiLevelType w:val="hybridMultilevel"/>
    <w:tmpl w:val="78EEE2C0"/>
    <w:lvl w:ilvl="0" w:tplc="8020E124">
      <w:start w:val="1"/>
      <w:numFmt w:val="bullet"/>
      <w:lvlText w:val=""/>
      <w:lvlJc w:val="left"/>
      <w:pPr>
        <w:tabs>
          <w:tab w:val="num" w:pos="720"/>
        </w:tabs>
        <w:ind w:left="720" w:hanging="360"/>
      </w:pPr>
      <w:rPr>
        <w:rFonts w:ascii="Wingdings" w:hAnsi="Wingdings" w:hint="default"/>
      </w:rPr>
    </w:lvl>
    <w:lvl w:ilvl="1" w:tplc="AEA4796C" w:tentative="1">
      <w:start w:val="1"/>
      <w:numFmt w:val="bullet"/>
      <w:lvlText w:val=""/>
      <w:lvlJc w:val="left"/>
      <w:pPr>
        <w:tabs>
          <w:tab w:val="num" w:pos="1440"/>
        </w:tabs>
        <w:ind w:left="1440" w:hanging="360"/>
      </w:pPr>
      <w:rPr>
        <w:rFonts w:ascii="Wingdings" w:hAnsi="Wingdings" w:hint="default"/>
      </w:rPr>
    </w:lvl>
    <w:lvl w:ilvl="2" w:tplc="C6786C0C" w:tentative="1">
      <w:start w:val="1"/>
      <w:numFmt w:val="bullet"/>
      <w:lvlText w:val=""/>
      <w:lvlJc w:val="left"/>
      <w:pPr>
        <w:tabs>
          <w:tab w:val="num" w:pos="2160"/>
        </w:tabs>
        <w:ind w:left="2160" w:hanging="360"/>
      </w:pPr>
      <w:rPr>
        <w:rFonts w:ascii="Wingdings" w:hAnsi="Wingdings" w:hint="default"/>
      </w:rPr>
    </w:lvl>
    <w:lvl w:ilvl="3" w:tplc="8CA2C858" w:tentative="1">
      <w:start w:val="1"/>
      <w:numFmt w:val="bullet"/>
      <w:lvlText w:val=""/>
      <w:lvlJc w:val="left"/>
      <w:pPr>
        <w:tabs>
          <w:tab w:val="num" w:pos="2880"/>
        </w:tabs>
        <w:ind w:left="2880" w:hanging="360"/>
      </w:pPr>
      <w:rPr>
        <w:rFonts w:ascii="Wingdings" w:hAnsi="Wingdings" w:hint="default"/>
      </w:rPr>
    </w:lvl>
    <w:lvl w:ilvl="4" w:tplc="680C0B7A" w:tentative="1">
      <w:start w:val="1"/>
      <w:numFmt w:val="bullet"/>
      <w:lvlText w:val=""/>
      <w:lvlJc w:val="left"/>
      <w:pPr>
        <w:tabs>
          <w:tab w:val="num" w:pos="3600"/>
        </w:tabs>
        <w:ind w:left="3600" w:hanging="360"/>
      </w:pPr>
      <w:rPr>
        <w:rFonts w:ascii="Wingdings" w:hAnsi="Wingdings" w:hint="default"/>
      </w:rPr>
    </w:lvl>
    <w:lvl w:ilvl="5" w:tplc="C9265A52" w:tentative="1">
      <w:start w:val="1"/>
      <w:numFmt w:val="bullet"/>
      <w:lvlText w:val=""/>
      <w:lvlJc w:val="left"/>
      <w:pPr>
        <w:tabs>
          <w:tab w:val="num" w:pos="4320"/>
        </w:tabs>
        <w:ind w:left="4320" w:hanging="360"/>
      </w:pPr>
      <w:rPr>
        <w:rFonts w:ascii="Wingdings" w:hAnsi="Wingdings" w:hint="default"/>
      </w:rPr>
    </w:lvl>
    <w:lvl w:ilvl="6" w:tplc="7B10B67E" w:tentative="1">
      <w:start w:val="1"/>
      <w:numFmt w:val="bullet"/>
      <w:lvlText w:val=""/>
      <w:lvlJc w:val="left"/>
      <w:pPr>
        <w:tabs>
          <w:tab w:val="num" w:pos="5040"/>
        </w:tabs>
        <w:ind w:left="5040" w:hanging="360"/>
      </w:pPr>
      <w:rPr>
        <w:rFonts w:ascii="Wingdings" w:hAnsi="Wingdings" w:hint="default"/>
      </w:rPr>
    </w:lvl>
    <w:lvl w:ilvl="7" w:tplc="8DC2EF4C" w:tentative="1">
      <w:start w:val="1"/>
      <w:numFmt w:val="bullet"/>
      <w:lvlText w:val=""/>
      <w:lvlJc w:val="left"/>
      <w:pPr>
        <w:tabs>
          <w:tab w:val="num" w:pos="5760"/>
        </w:tabs>
        <w:ind w:left="5760" w:hanging="360"/>
      </w:pPr>
      <w:rPr>
        <w:rFonts w:ascii="Wingdings" w:hAnsi="Wingdings" w:hint="default"/>
      </w:rPr>
    </w:lvl>
    <w:lvl w:ilvl="8" w:tplc="F6AA64A4"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3EE14D6"/>
    <w:multiLevelType w:val="hybridMultilevel"/>
    <w:tmpl w:val="BCF6DBA4"/>
    <w:lvl w:ilvl="0" w:tplc="CF42BE4A">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57C4BE1"/>
    <w:multiLevelType w:val="hybridMultilevel"/>
    <w:tmpl w:val="8EE20412"/>
    <w:lvl w:ilvl="0" w:tplc="8DCE790E">
      <w:numFmt w:val="bullet"/>
      <w:lvlText w:val="-"/>
      <w:lvlJc w:val="left"/>
      <w:pPr>
        <w:ind w:left="360" w:hanging="360"/>
      </w:pPr>
      <w:rPr>
        <w:rFonts w:ascii="Calibri" w:eastAsiaTheme="minorHAnsi" w:hAnsi="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584C23F9"/>
    <w:multiLevelType w:val="hybridMultilevel"/>
    <w:tmpl w:val="65F846F6"/>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9" w15:restartNumberingAfterBreak="0">
    <w:nsid w:val="5C2B1FA3"/>
    <w:multiLevelType w:val="hybridMultilevel"/>
    <w:tmpl w:val="B962563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0" w15:restartNumberingAfterBreak="0">
    <w:nsid w:val="62C3316D"/>
    <w:multiLevelType w:val="hybridMultilevel"/>
    <w:tmpl w:val="A7DEA292"/>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CA83B59"/>
    <w:multiLevelType w:val="hybridMultilevel"/>
    <w:tmpl w:val="FB987B9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13B354C"/>
    <w:multiLevelType w:val="hybridMultilevel"/>
    <w:tmpl w:val="266458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16D24D4"/>
    <w:multiLevelType w:val="hybridMultilevel"/>
    <w:tmpl w:val="8958883E"/>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24" w15:restartNumberingAfterBreak="0">
    <w:nsid w:val="79B44B4B"/>
    <w:multiLevelType w:val="hybridMultilevel"/>
    <w:tmpl w:val="909C43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5"/>
  </w:num>
  <w:num w:numId="2">
    <w:abstractNumId w:val="13"/>
  </w:num>
  <w:num w:numId="3">
    <w:abstractNumId w:val="6"/>
  </w:num>
  <w:num w:numId="4">
    <w:abstractNumId w:val="14"/>
  </w:num>
  <w:num w:numId="5">
    <w:abstractNumId w:val="10"/>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21"/>
  </w:num>
  <w:num w:numId="9">
    <w:abstractNumId w:val="22"/>
  </w:num>
  <w:num w:numId="10">
    <w:abstractNumId w:val="17"/>
  </w:num>
  <w:num w:numId="11">
    <w:abstractNumId w:val="9"/>
  </w:num>
  <w:num w:numId="12">
    <w:abstractNumId w:val="8"/>
  </w:num>
  <w:num w:numId="13">
    <w:abstractNumId w:val="12"/>
  </w:num>
  <w:num w:numId="14">
    <w:abstractNumId w:val="19"/>
  </w:num>
  <w:num w:numId="15">
    <w:abstractNumId w:val="0"/>
  </w:num>
  <w:num w:numId="16">
    <w:abstractNumId w:val="7"/>
  </w:num>
  <w:num w:numId="17">
    <w:abstractNumId w:val="3"/>
  </w:num>
  <w:num w:numId="18">
    <w:abstractNumId w:val="23"/>
  </w:num>
  <w:num w:numId="19">
    <w:abstractNumId w:val="20"/>
  </w:num>
  <w:num w:numId="20">
    <w:abstractNumId w:val="4"/>
  </w:num>
  <w:num w:numId="21">
    <w:abstractNumId w:val="18"/>
  </w:num>
  <w:num w:numId="22">
    <w:abstractNumId w:val="24"/>
  </w:num>
  <w:num w:numId="23">
    <w:abstractNumId w:val="11"/>
  </w:num>
  <w:num w:numId="24">
    <w:abstractNumId w:val="1"/>
  </w:num>
  <w:num w:numId="25">
    <w:abstractNumId w:val="5"/>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F5C"/>
    <w:rsid w:val="00006B01"/>
    <w:rsid w:val="00013D71"/>
    <w:rsid w:val="00014921"/>
    <w:rsid w:val="00024F6A"/>
    <w:rsid w:val="0003020F"/>
    <w:rsid w:val="0003128C"/>
    <w:rsid w:val="00031B90"/>
    <w:rsid w:val="00032663"/>
    <w:rsid w:val="0008428F"/>
    <w:rsid w:val="000A74D1"/>
    <w:rsid w:val="00152BB4"/>
    <w:rsid w:val="0017722A"/>
    <w:rsid w:val="0019216B"/>
    <w:rsid w:val="001D1A77"/>
    <w:rsid w:val="00232855"/>
    <w:rsid w:val="00263D20"/>
    <w:rsid w:val="002671FC"/>
    <w:rsid w:val="00277557"/>
    <w:rsid w:val="00292446"/>
    <w:rsid w:val="00292C20"/>
    <w:rsid w:val="002E4C79"/>
    <w:rsid w:val="00350D46"/>
    <w:rsid w:val="00374CE5"/>
    <w:rsid w:val="00380067"/>
    <w:rsid w:val="003D25C4"/>
    <w:rsid w:val="003F3879"/>
    <w:rsid w:val="00470EA5"/>
    <w:rsid w:val="004A3BE8"/>
    <w:rsid w:val="004A6255"/>
    <w:rsid w:val="004D334D"/>
    <w:rsid w:val="004E2E8C"/>
    <w:rsid w:val="00505668"/>
    <w:rsid w:val="005553B4"/>
    <w:rsid w:val="005626AA"/>
    <w:rsid w:val="00565F5C"/>
    <w:rsid w:val="005942A8"/>
    <w:rsid w:val="005F3C4A"/>
    <w:rsid w:val="0069467D"/>
    <w:rsid w:val="0069730D"/>
    <w:rsid w:val="006B3206"/>
    <w:rsid w:val="006C46E0"/>
    <w:rsid w:val="006C5809"/>
    <w:rsid w:val="00700527"/>
    <w:rsid w:val="007419F1"/>
    <w:rsid w:val="00767572"/>
    <w:rsid w:val="0079749F"/>
    <w:rsid w:val="007A1708"/>
    <w:rsid w:val="007F3F16"/>
    <w:rsid w:val="00803476"/>
    <w:rsid w:val="00844F1C"/>
    <w:rsid w:val="008C238C"/>
    <w:rsid w:val="008C4C65"/>
    <w:rsid w:val="008E342E"/>
    <w:rsid w:val="008F1A19"/>
    <w:rsid w:val="008F7E81"/>
    <w:rsid w:val="00901A1A"/>
    <w:rsid w:val="0090570B"/>
    <w:rsid w:val="009137F8"/>
    <w:rsid w:val="00975191"/>
    <w:rsid w:val="00996E91"/>
    <w:rsid w:val="00997738"/>
    <w:rsid w:val="009C0159"/>
    <w:rsid w:val="00A02C87"/>
    <w:rsid w:val="00AA135A"/>
    <w:rsid w:val="00AB2D5C"/>
    <w:rsid w:val="00AB4B5F"/>
    <w:rsid w:val="00AC5995"/>
    <w:rsid w:val="00AE6879"/>
    <w:rsid w:val="00B108D1"/>
    <w:rsid w:val="00B713C4"/>
    <w:rsid w:val="00B80659"/>
    <w:rsid w:val="00BA0BCA"/>
    <w:rsid w:val="00BC1384"/>
    <w:rsid w:val="00BD7DEF"/>
    <w:rsid w:val="00C40538"/>
    <w:rsid w:val="00CF18DA"/>
    <w:rsid w:val="00CF24DE"/>
    <w:rsid w:val="00D1095E"/>
    <w:rsid w:val="00D41790"/>
    <w:rsid w:val="00D929C8"/>
    <w:rsid w:val="00DA4D5C"/>
    <w:rsid w:val="00DB0A7D"/>
    <w:rsid w:val="00DD733C"/>
    <w:rsid w:val="00E10A67"/>
    <w:rsid w:val="00E17BEA"/>
    <w:rsid w:val="00E3757C"/>
    <w:rsid w:val="00E730A5"/>
    <w:rsid w:val="00E844EA"/>
    <w:rsid w:val="00E9395F"/>
    <w:rsid w:val="00EA7A01"/>
    <w:rsid w:val="00EA7DAD"/>
    <w:rsid w:val="00ED17AF"/>
    <w:rsid w:val="00EE26E4"/>
    <w:rsid w:val="00F15953"/>
    <w:rsid w:val="00F36485"/>
    <w:rsid w:val="00F37439"/>
    <w:rsid w:val="00F41E08"/>
    <w:rsid w:val="00F72F2D"/>
    <w:rsid w:val="00F80C11"/>
    <w:rsid w:val="00F92E87"/>
    <w:rsid w:val="00FD2509"/>
    <w:rsid w:val="00FF56E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D0DA2"/>
  <w15:chartTrackingRefBased/>
  <w15:docId w15:val="{C85BB7AB-DC5B-4200-B613-9DD583EAE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65F5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844E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5F5C"/>
    <w:rPr>
      <w:rFonts w:asciiTheme="majorHAnsi" w:eastAsiaTheme="majorEastAsia" w:hAnsiTheme="majorHAnsi" w:cstheme="majorBidi"/>
      <w:color w:val="2F5496" w:themeColor="accent1" w:themeShade="BF"/>
      <w:sz w:val="32"/>
      <w:szCs w:val="32"/>
    </w:rPr>
  </w:style>
  <w:style w:type="paragraph" w:styleId="ListParagraph">
    <w:name w:val="List Paragraph"/>
    <w:aliases w:val="List Paragraph1,List Paragraph11,List Paragraph Number,Bullet point,Recommendation,L,Content descriptions,Bullet Point,dot point List Paragraph,Figure_name,Bullet- First level,Listenabsatz1,List Paragraph2,List Bullet 1,Body Bullets 1"/>
    <w:basedOn w:val="Normal"/>
    <w:link w:val="ListParagraphChar"/>
    <w:uiPriority w:val="34"/>
    <w:qFormat/>
    <w:rsid w:val="00565F5C"/>
    <w:pPr>
      <w:ind w:left="720"/>
      <w:contextualSpacing/>
    </w:pPr>
  </w:style>
  <w:style w:type="character" w:styleId="Hyperlink">
    <w:name w:val="Hyperlink"/>
    <w:basedOn w:val="DefaultParagraphFont"/>
    <w:uiPriority w:val="99"/>
    <w:unhideWhenUsed/>
    <w:rsid w:val="00565F5C"/>
    <w:rPr>
      <w:color w:val="0563C1" w:themeColor="hyperlink"/>
      <w:u w:val="single"/>
    </w:rPr>
  </w:style>
  <w:style w:type="character" w:styleId="UnresolvedMention">
    <w:name w:val="Unresolved Mention"/>
    <w:basedOn w:val="DefaultParagraphFont"/>
    <w:uiPriority w:val="99"/>
    <w:semiHidden/>
    <w:unhideWhenUsed/>
    <w:rsid w:val="00565F5C"/>
    <w:rPr>
      <w:color w:val="605E5C"/>
      <w:shd w:val="clear" w:color="auto" w:fill="E1DFDD"/>
    </w:rPr>
  </w:style>
  <w:style w:type="paragraph" w:styleId="NormalWeb">
    <w:name w:val="Normal (Web)"/>
    <w:basedOn w:val="Normal"/>
    <w:uiPriority w:val="99"/>
    <w:unhideWhenUsed/>
    <w:rsid w:val="00565F5C"/>
    <w:pPr>
      <w:spacing w:before="100" w:beforeAutospacing="1" w:after="100" w:afterAutospacing="1" w:line="240" w:lineRule="auto"/>
    </w:pPr>
    <w:rPr>
      <w:rFonts w:ascii="Times New Roman" w:eastAsiaTheme="minorEastAsia" w:hAnsi="Times New Roman" w:cs="Times New Roman"/>
      <w:sz w:val="24"/>
      <w:szCs w:val="24"/>
      <w:lang w:val="en-GB" w:eastAsia="en-GB"/>
    </w:rPr>
  </w:style>
  <w:style w:type="character" w:styleId="CommentReference">
    <w:name w:val="annotation reference"/>
    <w:basedOn w:val="DefaultParagraphFont"/>
    <w:uiPriority w:val="99"/>
    <w:semiHidden/>
    <w:unhideWhenUsed/>
    <w:rsid w:val="00803476"/>
    <w:rPr>
      <w:sz w:val="16"/>
      <w:szCs w:val="16"/>
    </w:rPr>
  </w:style>
  <w:style w:type="paragraph" w:styleId="CommentText">
    <w:name w:val="annotation text"/>
    <w:basedOn w:val="Normal"/>
    <w:link w:val="CommentTextChar"/>
    <w:uiPriority w:val="99"/>
    <w:unhideWhenUsed/>
    <w:rsid w:val="00803476"/>
    <w:pPr>
      <w:spacing w:line="240" w:lineRule="auto"/>
    </w:pPr>
    <w:rPr>
      <w:sz w:val="20"/>
      <w:szCs w:val="20"/>
    </w:rPr>
  </w:style>
  <w:style w:type="character" w:customStyle="1" w:styleId="CommentTextChar">
    <w:name w:val="Comment Text Char"/>
    <w:basedOn w:val="DefaultParagraphFont"/>
    <w:link w:val="CommentText"/>
    <w:uiPriority w:val="99"/>
    <w:rsid w:val="00803476"/>
    <w:rPr>
      <w:sz w:val="20"/>
      <w:szCs w:val="20"/>
    </w:rPr>
  </w:style>
  <w:style w:type="paragraph" w:styleId="CommentSubject">
    <w:name w:val="annotation subject"/>
    <w:basedOn w:val="CommentText"/>
    <w:next w:val="CommentText"/>
    <w:link w:val="CommentSubjectChar"/>
    <w:uiPriority w:val="99"/>
    <w:semiHidden/>
    <w:unhideWhenUsed/>
    <w:rsid w:val="00803476"/>
    <w:rPr>
      <w:b/>
      <w:bCs/>
    </w:rPr>
  </w:style>
  <w:style w:type="character" w:customStyle="1" w:styleId="CommentSubjectChar">
    <w:name w:val="Comment Subject Char"/>
    <w:basedOn w:val="CommentTextChar"/>
    <w:link w:val="CommentSubject"/>
    <w:uiPriority w:val="99"/>
    <w:semiHidden/>
    <w:rsid w:val="00803476"/>
    <w:rPr>
      <w:b/>
      <w:bCs/>
      <w:sz w:val="20"/>
      <w:szCs w:val="20"/>
    </w:rPr>
  </w:style>
  <w:style w:type="paragraph" w:styleId="BalloonText">
    <w:name w:val="Balloon Text"/>
    <w:basedOn w:val="Normal"/>
    <w:link w:val="BalloonTextChar"/>
    <w:uiPriority w:val="99"/>
    <w:semiHidden/>
    <w:unhideWhenUsed/>
    <w:rsid w:val="008034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3476"/>
    <w:rPr>
      <w:rFonts w:ascii="Segoe UI" w:hAnsi="Segoe UI" w:cs="Segoe UI"/>
      <w:sz w:val="18"/>
      <w:szCs w:val="18"/>
    </w:rPr>
  </w:style>
  <w:style w:type="character" w:styleId="FollowedHyperlink">
    <w:name w:val="FollowedHyperlink"/>
    <w:basedOn w:val="DefaultParagraphFont"/>
    <w:uiPriority w:val="99"/>
    <w:semiHidden/>
    <w:unhideWhenUsed/>
    <w:rsid w:val="00EA7A01"/>
    <w:rPr>
      <w:color w:val="954F72" w:themeColor="followedHyperlink"/>
      <w:u w:val="single"/>
    </w:rPr>
  </w:style>
  <w:style w:type="character" w:customStyle="1" w:styleId="ListParagraphChar">
    <w:name w:val="List Paragraph Char"/>
    <w:aliases w:val="List Paragraph1 Char,List Paragraph11 Char,List Paragraph Number Char,Bullet point Char,Recommendation Char,L Char,Content descriptions Char,Bullet Point Char,dot point List Paragraph Char,Figure_name Char,Bullet- First level Char"/>
    <w:basedOn w:val="DefaultParagraphFont"/>
    <w:link w:val="ListParagraph"/>
    <w:uiPriority w:val="34"/>
    <w:rsid w:val="00B108D1"/>
  </w:style>
  <w:style w:type="paragraph" w:styleId="Revision">
    <w:name w:val="Revision"/>
    <w:hidden/>
    <w:uiPriority w:val="99"/>
    <w:semiHidden/>
    <w:rsid w:val="00901A1A"/>
    <w:pPr>
      <w:spacing w:after="0" w:line="240" w:lineRule="auto"/>
    </w:pPr>
  </w:style>
  <w:style w:type="character" w:customStyle="1" w:styleId="Heading2Char">
    <w:name w:val="Heading 2 Char"/>
    <w:basedOn w:val="DefaultParagraphFont"/>
    <w:link w:val="Heading2"/>
    <w:uiPriority w:val="9"/>
    <w:rsid w:val="00E844EA"/>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humanrights.gov.au/complaints/make-complaint" TargetMode="External"/><Relationship Id="rId13" Type="http://schemas.openxmlformats.org/officeDocument/2006/relationships/hyperlink" Target="https://blueknot.org.au/" TargetMode="External"/><Relationship Id="rId3" Type="http://schemas.openxmlformats.org/officeDocument/2006/relationships/styles" Target="styles.xml"/><Relationship Id="rId7" Type="http://schemas.openxmlformats.org/officeDocument/2006/relationships/hyperlink" Target="https://www.fwc.gov.au/issues-we-help/sexual-harassment" TargetMode="External"/><Relationship Id="rId12" Type="http://schemas.openxmlformats.org/officeDocument/2006/relationships/hyperlink" Target="https://www.tisnational.gov.a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respectatwork.gov.au/where-seek-help-if-youve-experienced-workplace-sexual-harassment" TargetMode="External"/><Relationship Id="rId11" Type="http://schemas.openxmlformats.org/officeDocument/2006/relationships/hyperlink" Target="https://clcs.org.au/our-peopl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respectatwork.gov.au/sites/default/files/2022-10/FINAL%20Guide%20to%20external%20pathways%20in%20Australia%20to%20address%20workplace%20sexual%20harassment%20.pdf" TargetMode="External"/><Relationship Id="rId4" Type="http://schemas.openxmlformats.org/officeDocument/2006/relationships/settings" Target="settings.xml"/><Relationship Id="rId9" Type="http://schemas.openxmlformats.org/officeDocument/2006/relationships/hyperlink" Target="https://www.fairwork.gov.au/employment-conditions/bullying-sexual-harassment-and-discrimination-at-work/sexual-harassment-in-the-workplac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EAA77D-C2EF-46B9-8845-123F53AC5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976</Words>
  <Characters>5564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Attorney-General's Department</Company>
  <LinksUpToDate>false</LinksUpToDate>
  <CharactersWithSpaces>6527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McAuliffe, Lucy</dc:creator>
  <cp:keywords/>
  <dc:description/>
  <cp:lastModifiedBy>Hawkins, Georgia</cp:lastModifiedBy>
  <cp:revision>2</cp:revision>
  <cp:lastPrinted>2022-10-05T21:42:00Z</cp:lastPrinted>
  <dcterms:created xsi:type="dcterms:W3CDTF">2022-12-13T00:24:00Z</dcterms:created>
  <dcterms:modified xsi:type="dcterms:W3CDTF">2022-12-13T00:24:00Z</dcterms:modified>
</cp:coreProperties>
</file>